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7F77" w14:textId="77777777" w:rsidR="008121B0" w:rsidRPr="008121B0" w:rsidRDefault="008121B0" w:rsidP="008121B0">
      <w:pPr>
        <w:widowControl/>
        <w:shd w:val="clear" w:color="auto" w:fill="FFFFFF"/>
        <w:spacing w:line="720" w:lineRule="exact"/>
        <w:jc w:val="center"/>
        <w:rPr>
          <w:rFonts w:ascii="仿宋" w:eastAsia="仿宋" w:hAnsi="仿宋" w:cs="仿宋"/>
          <w:kern w:val="0"/>
          <w:sz w:val="24"/>
          <w:szCs w:val="24"/>
        </w:rPr>
      </w:pPr>
      <w:r w:rsidRPr="008121B0">
        <w:rPr>
          <w:rFonts w:ascii="方正小标宋简体" w:eastAsia="方正小标宋简体" w:hAnsi="方正小标宋简体" w:cs="方正小标宋简体" w:hint="eastAsia"/>
          <w:sz w:val="44"/>
          <w:szCs w:val="44"/>
          <w:lang w:bidi="ar"/>
        </w:rPr>
        <w:t>内江师范学院采购代理机构日常考核表</w:t>
      </w:r>
    </w:p>
    <w:p w14:paraId="54BAB66A" w14:textId="77777777" w:rsidR="008121B0" w:rsidRPr="008121B0" w:rsidRDefault="008121B0" w:rsidP="008121B0">
      <w:pPr>
        <w:widowControl/>
        <w:shd w:val="clear" w:color="auto" w:fill="FFFFFF"/>
        <w:spacing w:line="480" w:lineRule="atLeast"/>
        <w:jc w:val="left"/>
        <w:rPr>
          <w:rFonts w:ascii="方正仿宋简体" w:eastAsia="方正仿宋简体" w:hAnsi="方正仿宋简体" w:cs="仿宋"/>
          <w:b/>
          <w:bCs/>
          <w:kern w:val="0"/>
          <w:sz w:val="28"/>
          <w:szCs w:val="28"/>
        </w:rPr>
      </w:pPr>
      <w:r w:rsidRPr="008121B0">
        <w:rPr>
          <w:rFonts w:ascii="方正仿宋简体" w:eastAsia="方正仿宋简体" w:hAnsi="方正仿宋简体" w:cs="仿宋" w:hint="eastAsia"/>
          <w:b/>
          <w:bCs/>
          <w:kern w:val="0"/>
          <w:sz w:val="28"/>
          <w:szCs w:val="28"/>
        </w:rPr>
        <w:t>代理机构名称：</w:t>
      </w:r>
    </w:p>
    <w:p w14:paraId="19F4E30B" w14:textId="77777777" w:rsidR="008121B0" w:rsidRPr="008121B0" w:rsidRDefault="008121B0" w:rsidP="008121B0">
      <w:pPr>
        <w:widowControl/>
        <w:shd w:val="clear" w:color="auto" w:fill="FFFFFF"/>
        <w:spacing w:line="480" w:lineRule="atLeast"/>
        <w:jc w:val="left"/>
        <w:rPr>
          <w:rFonts w:ascii="方正仿宋简体" w:eastAsia="方正仿宋简体" w:hAnsi="方正仿宋简体" w:cs="仿宋"/>
          <w:b/>
          <w:bCs/>
          <w:kern w:val="0"/>
          <w:sz w:val="28"/>
          <w:szCs w:val="28"/>
        </w:rPr>
      </w:pPr>
      <w:r w:rsidRPr="008121B0">
        <w:rPr>
          <w:rFonts w:ascii="方正仿宋简体" w:eastAsia="方正仿宋简体" w:hAnsi="方正仿宋简体" w:cs="仿宋" w:hint="eastAsia"/>
          <w:b/>
          <w:bCs/>
          <w:kern w:val="0"/>
          <w:sz w:val="28"/>
          <w:szCs w:val="28"/>
        </w:rPr>
        <w:t>代理项目名称：</w:t>
      </w:r>
    </w:p>
    <w:tbl>
      <w:tblPr>
        <w:tblW w:w="521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85"/>
        <w:gridCol w:w="5953"/>
        <w:gridCol w:w="708"/>
        <w:gridCol w:w="992"/>
      </w:tblGrid>
      <w:tr w:rsidR="008121B0" w:rsidRPr="008121B0" w14:paraId="0537C68D" w14:textId="77777777" w:rsidTr="008121B0">
        <w:trPr>
          <w:jc w:val="center"/>
        </w:trPr>
        <w:tc>
          <w:tcPr>
            <w:tcW w:w="570" w:type="pct"/>
            <w:tcBorders>
              <w:top w:val="outset" w:sz="6" w:space="0" w:color="auto"/>
              <w:left w:val="outset" w:sz="6" w:space="0" w:color="auto"/>
              <w:bottom w:val="outset" w:sz="6" w:space="0" w:color="auto"/>
              <w:right w:val="outset" w:sz="6" w:space="0" w:color="auto"/>
            </w:tcBorders>
            <w:vAlign w:val="center"/>
          </w:tcPr>
          <w:p w14:paraId="62B6CB00" w14:textId="77777777" w:rsidR="008121B0" w:rsidRPr="008121B0" w:rsidRDefault="008121B0" w:rsidP="000813F3">
            <w:pPr>
              <w:widowControl/>
              <w:spacing w:line="480" w:lineRule="atLeast"/>
              <w:jc w:val="center"/>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扣分分值</w:t>
            </w:r>
          </w:p>
        </w:tc>
        <w:tc>
          <w:tcPr>
            <w:tcW w:w="3446" w:type="pct"/>
            <w:tcBorders>
              <w:top w:val="outset" w:sz="6" w:space="0" w:color="auto"/>
              <w:left w:val="outset" w:sz="6" w:space="0" w:color="auto"/>
              <w:bottom w:val="outset" w:sz="6" w:space="0" w:color="auto"/>
              <w:right w:val="outset" w:sz="6" w:space="0" w:color="auto"/>
            </w:tcBorders>
            <w:vAlign w:val="center"/>
          </w:tcPr>
          <w:p w14:paraId="1996AD13" w14:textId="77777777" w:rsidR="008121B0" w:rsidRPr="008121B0" w:rsidRDefault="008121B0" w:rsidP="000813F3">
            <w:pPr>
              <w:widowControl/>
              <w:spacing w:line="480" w:lineRule="atLeast"/>
              <w:jc w:val="center"/>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考 核 内 容</w:t>
            </w:r>
          </w:p>
        </w:tc>
        <w:tc>
          <w:tcPr>
            <w:tcW w:w="410" w:type="pct"/>
            <w:tcBorders>
              <w:top w:val="outset" w:sz="6" w:space="0" w:color="auto"/>
              <w:left w:val="outset" w:sz="6" w:space="0" w:color="auto"/>
              <w:bottom w:val="outset" w:sz="6" w:space="0" w:color="auto"/>
              <w:right w:val="outset" w:sz="6" w:space="0" w:color="auto"/>
            </w:tcBorders>
            <w:vAlign w:val="center"/>
          </w:tcPr>
          <w:p w14:paraId="447A5EDC" w14:textId="77777777" w:rsidR="008121B0" w:rsidRPr="008121B0" w:rsidRDefault="008121B0" w:rsidP="000813F3">
            <w:pPr>
              <w:widowControl/>
              <w:spacing w:line="480" w:lineRule="atLeast"/>
              <w:jc w:val="center"/>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扣 分</w:t>
            </w:r>
          </w:p>
        </w:tc>
        <w:tc>
          <w:tcPr>
            <w:tcW w:w="574" w:type="pct"/>
            <w:tcBorders>
              <w:top w:val="outset" w:sz="6" w:space="0" w:color="auto"/>
              <w:left w:val="outset" w:sz="6" w:space="0" w:color="auto"/>
              <w:bottom w:val="outset" w:sz="6" w:space="0" w:color="auto"/>
              <w:right w:val="outset" w:sz="6" w:space="0" w:color="auto"/>
            </w:tcBorders>
            <w:vAlign w:val="center"/>
          </w:tcPr>
          <w:p w14:paraId="2595F72A" w14:textId="77777777" w:rsidR="008121B0" w:rsidRPr="008121B0" w:rsidRDefault="008121B0" w:rsidP="000813F3">
            <w:pPr>
              <w:widowControl/>
              <w:spacing w:line="480" w:lineRule="atLeast"/>
              <w:jc w:val="center"/>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扣分原因</w:t>
            </w:r>
          </w:p>
        </w:tc>
      </w:tr>
      <w:tr w:rsidR="008121B0" w:rsidRPr="008121B0" w14:paraId="6DDFFCB3" w14:textId="77777777" w:rsidTr="008121B0">
        <w:trPr>
          <w:jc w:val="center"/>
        </w:trPr>
        <w:tc>
          <w:tcPr>
            <w:tcW w:w="570" w:type="pct"/>
            <w:tcBorders>
              <w:top w:val="outset" w:sz="6" w:space="0" w:color="auto"/>
              <w:left w:val="outset" w:sz="6" w:space="0" w:color="auto"/>
              <w:bottom w:val="outset" w:sz="6" w:space="0" w:color="auto"/>
              <w:right w:val="outset" w:sz="6" w:space="0" w:color="auto"/>
            </w:tcBorders>
            <w:vAlign w:val="center"/>
          </w:tcPr>
          <w:p w14:paraId="7B01E8C9" w14:textId="343FE49C" w:rsidR="008121B0" w:rsidRPr="008121B0" w:rsidRDefault="008121B0" w:rsidP="000B5D6F">
            <w:pPr>
              <w:widowControl/>
              <w:spacing w:line="480" w:lineRule="atLeast"/>
              <w:jc w:val="center"/>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1分</w:t>
            </w:r>
          </w:p>
        </w:tc>
        <w:tc>
          <w:tcPr>
            <w:tcW w:w="3446" w:type="pct"/>
            <w:tcBorders>
              <w:top w:val="outset" w:sz="6" w:space="0" w:color="auto"/>
              <w:left w:val="outset" w:sz="6" w:space="0" w:color="auto"/>
              <w:bottom w:val="outset" w:sz="6" w:space="0" w:color="auto"/>
              <w:right w:val="outset" w:sz="6" w:space="0" w:color="auto"/>
            </w:tcBorders>
            <w:vAlign w:val="center"/>
          </w:tcPr>
          <w:p w14:paraId="134C4EF3"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（一）采购文件内容出现错字或有缺项的；或采购文件内容出现违反法规情况的；</w:t>
            </w:r>
          </w:p>
          <w:p w14:paraId="717D715A"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（二）采购公告中出现错字或有缺项的；或相关内容出现违反法规情况的；</w:t>
            </w:r>
          </w:p>
          <w:p w14:paraId="747288EC"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（三）因代理机构原因，同一项目出现二次及以上澄清、答疑、修改等情况的或者因澄清、修改延长开标时间的；</w:t>
            </w:r>
          </w:p>
          <w:p w14:paraId="68FBB00E"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（四）开标前准备工作不充分，需要加派人员接收投标文件而没有加派的或者未做好其他开标前需要准备材料的情形的，造成开标现场混乱的；</w:t>
            </w:r>
          </w:p>
          <w:p w14:paraId="1A9DFFB3"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（五）未按采购文件规定的时间准时开标的或开标时不按规定程序进行或开标现场未宣读应该公开宣读的内容的；</w:t>
            </w:r>
          </w:p>
          <w:p w14:paraId="3A673E1C"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（六）开标过程中，没有形成书面记录并按规定签字的；</w:t>
            </w:r>
          </w:p>
          <w:p w14:paraId="25C687F9"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（七）</w:t>
            </w:r>
            <w:r w:rsidRPr="008121B0">
              <w:rPr>
                <w:rFonts w:ascii="方正仿宋简体" w:eastAsia="方正仿宋简体" w:hAnsi="方正仿宋简体" w:cs="仿宋" w:hint="eastAsia"/>
                <w:sz w:val="24"/>
                <w:szCs w:val="24"/>
              </w:rPr>
              <w:t>未按照规定要求和时限发布政府采购信息，或发布的信息未及时通知采购人，</w:t>
            </w:r>
            <w:r w:rsidRPr="008121B0">
              <w:rPr>
                <w:rFonts w:ascii="方正仿宋简体" w:eastAsia="方正仿宋简体" w:hAnsi="方正仿宋简体" w:cs="仿宋" w:hint="eastAsia"/>
                <w:kern w:val="0"/>
                <w:sz w:val="24"/>
                <w:szCs w:val="24"/>
              </w:rPr>
              <w:t>应该发布的信息内容不全的或发布的时间不一致的；</w:t>
            </w:r>
          </w:p>
          <w:p w14:paraId="4C5B2017"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（八）采购项目全部流程结束后，在规定期限内未将归档资料移交我校或归档的资料不完整的。</w:t>
            </w:r>
          </w:p>
        </w:tc>
        <w:tc>
          <w:tcPr>
            <w:tcW w:w="410" w:type="pct"/>
            <w:tcBorders>
              <w:top w:val="outset" w:sz="6" w:space="0" w:color="auto"/>
              <w:left w:val="outset" w:sz="6" w:space="0" w:color="auto"/>
              <w:bottom w:val="outset" w:sz="6" w:space="0" w:color="auto"/>
              <w:right w:val="outset" w:sz="6" w:space="0" w:color="auto"/>
            </w:tcBorders>
            <w:vAlign w:val="center"/>
          </w:tcPr>
          <w:p w14:paraId="5EEAFAE1" w14:textId="77777777" w:rsidR="008121B0" w:rsidRPr="008121B0" w:rsidRDefault="008121B0" w:rsidP="008121B0">
            <w:pPr>
              <w:widowControl/>
              <w:jc w:val="left"/>
              <w:rPr>
                <w:rFonts w:ascii="方正仿宋简体" w:eastAsia="方正仿宋简体" w:hAnsi="方正仿宋简体" w:cs="仿宋"/>
                <w:kern w:val="0"/>
                <w:sz w:val="24"/>
                <w:szCs w:val="24"/>
              </w:rPr>
            </w:pPr>
          </w:p>
        </w:tc>
        <w:tc>
          <w:tcPr>
            <w:tcW w:w="574" w:type="pct"/>
            <w:tcBorders>
              <w:top w:val="outset" w:sz="6" w:space="0" w:color="auto"/>
              <w:left w:val="outset" w:sz="6" w:space="0" w:color="auto"/>
              <w:bottom w:val="outset" w:sz="6" w:space="0" w:color="auto"/>
              <w:right w:val="outset" w:sz="6" w:space="0" w:color="auto"/>
            </w:tcBorders>
            <w:vAlign w:val="center"/>
          </w:tcPr>
          <w:p w14:paraId="77A7727C" w14:textId="77777777" w:rsidR="008121B0" w:rsidRPr="008121B0" w:rsidRDefault="008121B0" w:rsidP="008121B0">
            <w:pPr>
              <w:widowControl/>
              <w:jc w:val="left"/>
              <w:rPr>
                <w:rFonts w:ascii="方正仿宋简体" w:eastAsia="方正仿宋简体" w:hAnsi="方正仿宋简体" w:cs="仿宋"/>
                <w:kern w:val="0"/>
                <w:sz w:val="24"/>
                <w:szCs w:val="24"/>
              </w:rPr>
            </w:pPr>
          </w:p>
        </w:tc>
      </w:tr>
      <w:tr w:rsidR="008121B0" w:rsidRPr="008121B0" w14:paraId="62339C26" w14:textId="77777777" w:rsidTr="008121B0">
        <w:trPr>
          <w:jc w:val="center"/>
        </w:trPr>
        <w:tc>
          <w:tcPr>
            <w:tcW w:w="570" w:type="pct"/>
            <w:tcBorders>
              <w:top w:val="outset" w:sz="6" w:space="0" w:color="auto"/>
              <w:left w:val="outset" w:sz="6" w:space="0" w:color="auto"/>
              <w:bottom w:val="outset" w:sz="6" w:space="0" w:color="auto"/>
              <w:right w:val="outset" w:sz="6" w:space="0" w:color="auto"/>
            </w:tcBorders>
            <w:vAlign w:val="center"/>
          </w:tcPr>
          <w:p w14:paraId="44EE5065" w14:textId="77777777" w:rsidR="008121B0" w:rsidRPr="008121B0" w:rsidRDefault="008121B0" w:rsidP="000813F3">
            <w:pPr>
              <w:widowControl/>
              <w:spacing w:line="480" w:lineRule="atLeast"/>
              <w:jc w:val="center"/>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2分</w:t>
            </w:r>
          </w:p>
        </w:tc>
        <w:tc>
          <w:tcPr>
            <w:tcW w:w="3446" w:type="pct"/>
            <w:tcBorders>
              <w:top w:val="outset" w:sz="6" w:space="0" w:color="auto"/>
              <w:left w:val="outset" w:sz="6" w:space="0" w:color="auto"/>
              <w:bottom w:val="outset" w:sz="6" w:space="0" w:color="auto"/>
              <w:right w:val="outset" w:sz="6" w:space="0" w:color="auto"/>
            </w:tcBorders>
            <w:vAlign w:val="center"/>
          </w:tcPr>
          <w:p w14:paraId="058F05CA"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（一）采购文件内容混乱，前后条款表述不一致、错误较多、评分标准表述不严谨、用词不准确，易产生错误理解，需要作出3-5处澄清修改的；</w:t>
            </w:r>
          </w:p>
          <w:p w14:paraId="5ADDDAB7"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 xml:space="preserve">（二）接收投标文件时，未按规定接收的（接收不该接收的投标文件或拒绝接收应该接收的投标文件的）；非采购人原因，未及时实施采购，造成采购延误的。 </w:t>
            </w:r>
          </w:p>
          <w:p w14:paraId="0C1C9180"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（三）超过委托协议约定的收费标准收取代理服务费的或向中标人重复收取服务费的；</w:t>
            </w:r>
          </w:p>
          <w:p w14:paraId="3F068802"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（四）未在规定时间内对供应商的质疑作出答复的、未针对质疑内容答复的或未积极配合我校、监管机构调查处理投诉的；</w:t>
            </w:r>
          </w:p>
          <w:p w14:paraId="789C8A84"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（五）未及时对评标委员会的评分分值等进行核对，导致出现错误的；</w:t>
            </w:r>
          </w:p>
          <w:p w14:paraId="287AE955"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（六）因服务质量、服务态度不良导致学校采购需求部门、监审部门、供应商质疑或举报，经查属实的。</w:t>
            </w:r>
          </w:p>
        </w:tc>
        <w:tc>
          <w:tcPr>
            <w:tcW w:w="410" w:type="pct"/>
            <w:tcBorders>
              <w:top w:val="outset" w:sz="6" w:space="0" w:color="auto"/>
              <w:left w:val="outset" w:sz="6" w:space="0" w:color="auto"/>
              <w:bottom w:val="outset" w:sz="6" w:space="0" w:color="auto"/>
              <w:right w:val="outset" w:sz="6" w:space="0" w:color="auto"/>
            </w:tcBorders>
            <w:vAlign w:val="center"/>
          </w:tcPr>
          <w:p w14:paraId="0E5633A1" w14:textId="77777777" w:rsidR="008121B0" w:rsidRPr="008121B0" w:rsidRDefault="008121B0" w:rsidP="008121B0">
            <w:pPr>
              <w:widowControl/>
              <w:jc w:val="left"/>
              <w:rPr>
                <w:rFonts w:ascii="方正仿宋简体" w:eastAsia="方正仿宋简体" w:hAnsi="方正仿宋简体" w:cs="仿宋"/>
                <w:kern w:val="0"/>
                <w:sz w:val="24"/>
                <w:szCs w:val="24"/>
              </w:rPr>
            </w:pPr>
          </w:p>
        </w:tc>
        <w:tc>
          <w:tcPr>
            <w:tcW w:w="574" w:type="pct"/>
            <w:tcBorders>
              <w:top w:val="outset" w:sz="6" w:space="0" w:color="auto"/>
              <w:left w:val="outset" w:sz="6" w:space="0" w:color="auto"/>
              <w:bottom w:val="outset" w:sz="6" w:space="0" w:color="auto"/>
              <w:right w:val="outset" w:sz="6" w:space="0" w:color="auto"/>
            </w:tcBorders>
            <w:vAlign w:val="center"/>
          </w:tcPr>
          <w:p w14:paraId="1C07617C" w14:textId="77777777" w:rsidR="008121B0" w:rsidRPr="008121B0" w:rsidRDefault="008121B0" w:rsidP="008121B0">
            <w:pPr>
              <w:widowControl/>
              <w:jc w:val="left"/>
              <w:rPr>
                <w:rFonts w:ascii="方正仿宋简体" w:eastAsia="方正仿宋简体" w:hAnsi="方正仿宋简体" w:cs="仿宋"/>
                <w:kern w:val="0"/>
                <w:sz w:val="24"/>
                <w:szCs w:val="24"/>
              </w:rPr>
            </w:pPr>
          </w:p>
        </w:tc>
      </w:tr>
      <w:tr w:rsidR="008121B0" w:rsidRPr="008121B0" w14:paraId="14FC5778" w14:textId="77777777" w:rsidTr="008121B0">
        <w:trPr>
          <w:jc w:val="center"/>
        </w:trPr>
        <w:tc>
          <w:tcPr>
            <w:tcW w:w="570" w:type="pct"/>
            <w:tcBorders>
              <w:top w:val="outset" w:sz="6" w:space="0" w:color="auto"/>
              <w:left w:val="outset" w:sz="6" w:space="0" w:color="auto"/>
              <w:bottom w:val="outset" w:sz="6" w:space="0" w:color="auto"/>
              <w:right w:val="outset" w:sz="6" w:space="0" w:color="auto"/>
            </w:tcBorders>
            <w:vAlign w:val="center"/>
          </w:tcPr>
          <w:p w14:paraId="70FA504B" w14:textId="77777777" w:rsidR="008121B0" w:rsidRPr="008121B0" w:rsidRDefault="008121B0" w:rsidP="000813F3">
            <w:pPr>
              <w:widowControl/>
              <w:spacing w:line="480" w:lineRule="atLeast"/>
              <w:jc w:val="center"/>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lastRenderedPageBreak/>
              <w:t>5分</w:t>
            </w:r>
          </w:p>
        </w:tc>
        <w:tc>
          <w:tcPr>
            <w:tcW w:w="3446" w:type="pct"/>
            <w:tcBorders>
              <w:top w:val="outset" w:sz="6" w:space="0" w:color="auto"/>
              <w:left w:val="outset" w:sz="6" w:space="0" w:color="auto"/>
              <w:bottom w:val="outset" w:sz="6" w:space="0" w:color="auto"/>
              <w:right w:val="outset" w:sz="6" w:space="0" w:color="auto"/>
            </w:tcBorders>
            <w:vAlign w:val="center"/>
          </w:tcPr>
          <w:p w14:paraId="4DE73C11"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（一）将法律法规及规章中明确规定不得作为资格条件或评审因素的作为资格条件或评审因素的，或将除进口货物以外的生产厂家授权、承诺、证明、背书等作为资格要求的或者将资格条件作为评为评审因素的；</w:t>
            </w:r>
          </w:p>
          <w:p w14:paraId="3AF82487"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（二）采购文件项目需求中或评审因素中，产品技术参数或评标细则中存在政府采购法实施条例第二十条情形之一的（代理机构及其工作人员已提醒，但采购人未修改的除外）；</w:t>
            </w:r>
          </w:p>
          <w:p w14:paraId="5C9E2C67"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（三）采购文件审查时被发现需要作出6处及以上澄清修改的；</w:t>
            </w:r>
          </w:p>
          <w:p w14:paraId="3B1A51B2"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（四）唆使供应商质疑、投诉的；</w:t>
            </w:r>
          </w:p>
          <w:p w14:paraId="7BBCF12D"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（五）未充分了解采购需求部门需求造成采购失误的；</w:t>
            </w:r>
          </w:p>
          <w:p w14:paraId="1A7D518C"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（六）对采购文件论证时，提出两处及以上非专业的建议或意见。</w:t>
            </w:r>
          </w:p>
        </w:tc>
        <w:tc>
          <w:tcPr>
            <w:tcW w:w="410" w:type="pct"/>
            <w:tcBorders>
              <w:top w:val="outset" w:sz="6" w:space="0" w:color="auto"/>
              <w:left w:val="outset" w:sz="6" w:space="0" w:color="auto"/>
              <w:bottom w:val="outset" w:sz="6" w:space="0" w:color="auto"/>
              <w:right w:val="outset" w:sz="6" w:space="0" w:color="auto"/>
            </w:tcBorders>
            <w:vAlign w:val="center"/>
          </w:tcPr>
          <w:p w14:paraId="54AE279F" w14:textId="77777777" w:rsidR="008121B0" w:rsidRPr="008121B0" w:rsidRDefault="008121B0" w:rsidP="008121B0">
            <w:pPr>
              <w:widowControl/>
              <w:jc w:val="left"/>
              <w:rPr>
                <w:rFonts w:ascii="方正仿宋简体" w:eastAsia="方正仿宋简体" w:hAnsi="方正仿宋简体" w:cs="仿宋"/>
                <w:kern w:val="0"/>
                <w:sz w:val="24"/>
                <w:szCs w:val="24"/>
              </w:rPr>
            </w:pPr>
          </w:p>
        </w:tc>
        <w:tc>
          <w:tcPr>
            <w:tcW w:w="574" w:type="pct"/>
            <w:tcBorders>
              <w:top w:val="outset" w:sz="6" w:space="0" w:color="auto"/>
              <w:left w:val="outset" w:sz="6" w:space="0" w:color="auto"/>
              <w:bottom w:val="outset" w:sz="6" w:space="0" w:color="auto"/>
              <w:right w:val="outset" w:sz="6" w:space="0" w:color="auto"/>
            </w:tcBorders>
            <w:vAlign w:val="center"/>
          </w:tcPr>
          <w:p w14:paraId="3832EEB5" w14:textId="77777777" w:rsidR="008121B0" w:rsidRPr="008121B0" w:rsidRDefault="008121B0" w:rsidP="008121B0">
            <w:pPr>
              <w:widowControl/>
              <w:jc w:val="left"/>
              <w:rPr>
                <w:rFonts w:ascii="方正仿宋简体" w:eastAsia="方正仿宋简体" w:hAnsi="方正仿宋简体" w:cs="仿宋"/>
                <w:kern w:val="0"/>
                <w:sz w:val="24"/>
                <w:szCs w:val="24"/>
              </w:rPr>
            </w:pPr>
          </w:p>
        </w:tc>
      </w:tr>
      <w:tr w:rsidR="008121B0" w:rsidRPr="008121B0" w14:paraId="715BAB5D" w14:textId="77777777" w:rsidTr="008121B0">
        <w:trPr>
          <w:jc w:val="center"/>
        </w:trPr>
        <w:tc>
          <w:tcPr>
            <w:tcW w:w="570" w:type="pct"/>
            <w:tcBorders>
              <w:top w:val="outset" w:sz="6" w:space="0" w:color="auto"/>
              <w:left w:val="outset" w:sz="6" w:space="0" w:color="auto"/>
              <w:bottom w:val="outset" w:sz="6" w:space="0" w:color="auto"/>
              <w:right w:val="outset" w:sz="6" w:space="0" w:color="auto"/>
            </w:tcBorders>
            <w:vAlign w:val="center"/>
          </w:tcPr>
          <w:p w14:paraId="2FB45589" w14:textId="77777777" w:rsidR="008121B0" w:rsidRPr="008121B0" w:rsidRDefault="008121B0" w:rsidP="000813F3">
            <w:pPr>
              <w:widowControl/>
              <w:spacing w:line="480" w:lineRule="atLeast"/>
              <w:jc w:val="center"/>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一票否决项目</w:t>
            </w:r>
          </w:p>
        </w:tc>
        <w:tc>
          <w:tcPr>
            <w:tcW w:w="3446" w:type="pct"/>
            <w:tcBorders>
              <w:top w:val="outset" w:sz="6" w:space="0" w:color="auto"/>
              <w:left w:val="outset" w:sz="6" w:space="0" w:color="auto"/>
              <w:bottom w:val="outset" w:sz="6" w:space="0" w:color="auto"/>
              <w:right w:val="outset" w:sz="6" w:space="0" w:color="auto"/>
            </w:tcBorders>
            <w:vAlign w:val="center"/>
          </w:tcPr>
          <w:p w14:paraId="3442326D"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（一）存在本办法第十条情形之一的；</w:t>
            </w:r>
          </w:p>
          <w:p w14:paraId="6A954847"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（二）收受与代理项目有利害关系人的财物或其他不正当利益；</w:t>
            </w:r>
          </w:p>
          <w:p w14:paraId="7C02ACF9"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（三）与学校工作人员、供应商等串通损害学校利益；</w:t>
            </w:r>
          </w:p>
          <w:p w14:paraId="0DB2BCDA"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（四）违反法律法规，向相关人员泄露项目信息或秘密的；</w:t>
            </w:r>
          </w:p>
          <w:p w14:paraId="1D03BC5B"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（五）弄虚作假、干扰评标专家评标；</w:t>
            </w:r>
          </w:p>
          <w:p w14:paraId="335DBBA3"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（六）不遵守学校管理制度、不接受学校监督、不听取学校合理化意见，被学校招标采购中心、纪检和审计等管理监督部门两次及以上书面警告；</w:t>
            </w:r>
          </w:p>
          <w:p w14:paraId="2DF4281E"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（七）在有关部门依法实施的监督检查中提供虚假情况或者拒绝有关部门依法实施监督检查的；</w:t>
            </w:r>
          </w:p>
          <w:p w14:paraId="632BD595" w14:textId="77777777"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（八）违反规定隐匿、销毁应当保存的采购文件或者伪造、变造采购文件的；</w:t>
            </w:r>
          </w:p>
          <w:p w14:paraId="31C46434" w14:textId="32DCFEE8" w:rsidR="008121B0" w:rsidRPr="008121B0" w:rsidRDefault="008121B0" w:rsidP="008121B0">
            <w:pPr>
              <w:widowControl/>
              <w:spacing w:line="320" w:lineRule="exact"/>
              <w:jc w:val="left"/>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（九）损害学校利益或给学校带来严重负面影响。</w:t>
            </w:r>
          </w:p>
        </w:tc>
        <w:tc>
          <w:tcPr>
            <w:tcW w:w="410" w:type="pct"/>
            <w:tcBorders>
              <w:top w:val="outset" w:sz="6" w:space="0" w:color="auto"/>
              <w:left w:val="outset" w:sz="6" w:space="0" w:color="auto"/>
              <w:bottom w:val="outset" w:sz="6" w:space="0" w:color="auto"/>
              <w:right w:val="outset" w:sz="6" w:space="0" w:color="auto"/>
            </w:tcBorders>
            <w:vAlign w:val="center"/>
          </w:tcPr>
          <w:p w14:paraId="5644F428" w14:textId="77777777" w:rsidR="008121B0" w:rsidRPr="008121B0" w:rsidRDefault="008121B0" w:rsidP="008121B0">
            <w:pPr>
              <w:widowControl/>
              <w:jc w:val="left"/>
              <w:rPr>
                <w:rFonts w:ascii="方正仿宋简体" w:eastAsia="方正仿宋简体" w:hAnsi="方正仿宋简体" w:cs="仿宋"/>
                <w:kern w:val="0"/>
                <w:sz w:val="24"/>
                <w:szCs w:val="24"/>
              </w:rPr>
            </w:pPr>
          </w:p>
        </w:tc>
        <w:tc>
          <w:tcPr>
            <w:tcW w:w="574" w:type="pct"/>
            <w:tcBorders>
              <w:top w:val="outset" w:sz="6" w:space="0" w:color="auto"/>
              <w:left w:val="outset" w:sz="6" w:space="0" w:color="auto"/>
              <w:bottom w:val="outset" w:sz="6" w:space="0" w:color="auto"/>
              <w:right w:val="outset" w:sz="6" w:space="0" w:color="auto"/>
            </w:tcBorders>
            <w:vAlign w:val="center"/>
          </w:tcPr>
          <w:p w14:paraId="2E57977F" w14:textId="77777777" w:rsidR="008121B0" w:rsidRPr="008121B0" w:rsidRDefault="008121B0" w:rsidP="008121B0">
            <w:pPr>
              <w:widowControl/>
              <w:jc w:val="left"/>
              <w:rPr>
                <w:rFonts w:ascii="方正仿宋简体" w:eastAsia="方正仿宋简体" w:hAnsi="方正仿宋简体" w:cs="仿宋"/>
                <w:kern w:val="0"/>
                <w:sz w:val="24"/>
                <w:szCs w:val="24"/>
              </w:rPr>
            </w:pPr>
          </w:p>
        </w:tc>
      </w:tr>
      <w:tr w:rsidR="008121B0" w:rsidRPr="008121B0" w14:paraId="2B9E7CB5" w14:textId="77777777" w:rsidTr="008121B0">
        <w:trPr>
          <w:trHeight w:val="675"/>
          <w:jc w:val="center"/>
        </w:trPr>
        <w:tc>
          <w:tcPr>
            <w:tcW w:w="4426" w:type="pct"/>
            <w:gridSpan w:val="3"/>
            <w:tcBorders>
              <w:top w:val="outset" w:sz="6" w:space="0" w:color="auto"/>
              <w:left w:val="outset" w:sz="6" w:space="0" w:color="auto"/>
              <w:bottom w:val="outset" w:sz="6" w:space="0" w:color="auto"/>
              <w:right w:val="outset" w:sz="6" w:space="0" w:color="auto"/>
            </w:tcBorders>
            <w:vAlign w:val="center"/>
          </w:tcPr>
          <w:p w14:paraId="64CA12E2" w14:textId="77777777" w:rsidR="008121B0" w:rsidRPr="008121B0" w:rsidRDefault="008121B0" w:rsidP="000813F3">
            <w:pPr>
              <w:widowControl/>
              <w:jc w:val="center"/>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合 计 扣 分</w:t>
            </w:r>
          </w:p>
        </w:tc>
        <w:tc>
          <w:tcPr>
            <w:tcW w:w="574" w:type="pct"/>
            <w:tcBorders>
              <w:top w:val="outset" w:sz="6" w:space="0" w:color="auto"/>
              <w:left w:val="outset" w:sz="6" w:space="0" w:color="auto"/>
              <w:bottom w:val="outset" w:sz="6" w:space="0" w:color="auto"/>
              <w:right w:val="outset" w:sz="6" w:space="0" w:color="auto"/>
            </w:tcBorders>
            <w:vAlign w:val="center"/>
          </w:tcPr>
          <w:p w14:paraId="37434AEF" w14:textId="77777777" w:rsidR="008121B0" w:rsidRPr="008121B0" w:rsidRDefault="008121B0" w:rsidP="000813F3">
            <w:pPr>
              <w:widowControl/>
              <w:jc w:val="left"/>
              <w:rPr>
                <w:rFonts w:ascii="方正仿宋简体" w:eastAsia="方正仿宋简体" w:hAnsi="方正仿宋简体" w:cs="仿宋"/>
                <w:kern w:val="0"/>
                <w:sz w:val="24"/>
                <w:szCs w:val="24"/>
              </w:rPr>
            </w:pPr>
          </w:p>
        </w:tc>
      </w:tr>
      <w:tr w:rsidR="008121B0" w:rsidRPr="008121B0" w14:paraId="5DCA59E4" w14:textId="77777777" w:rsidTr="008121B0">
        <w:trPr>
          <w:trHeight w:val="1318"/>
          <w:jc w:val="center"/>
        </w:trPr>
        <w:tc>
          <w:tcPr>
            <w:tcW w:w="5000" w:type="pct"/>
            <w:gridSpan w:val="4"/>
            <w:tcBorders>
              <w:top w:val="outset" w:sz="6" w:space="0" w:color="auto"/>
              <w:left w:val="outset" w:sz="6" w:space="0" w:color="auto"/>
              <w:bottom w:val="outset" w:sz="6" w:space="0" w:color="auto"/>
              <w:right w:val="outset" w:sz="6" w:space="0" w:color="auto"/>
            </w:tcBorders>
            <w:vAlign w:val="center"/>
          </w:tcPr>
          <w:p w14:paraId="37CA0FBB" w14:textId="3B510484" w:rsidR="008121B0" w:rsidRPr="008121B0" w:rsidRDefault="008121B0" w:rsidP="008121B0">
            <w:pPr>
              <w:widowControl/>
              <w:shd w:val="clear" w:color="auto" w:fill="FFFFFF"/>
              <w:spacing w:line="480" w:lineRule="atLeast"/>
              <w:jc w:val="center"/>
              <w:rPr>
                <w:rFonts w:ascii="方正仿宋简体" w:eastAsia="方正仿宋简体" w:hAnsi="方正仿宋简体" w:cs="仿宋"/>
                <w:kern w:val="0"/>
                <w:sz w:val="24"/>
                <w:szCs w:val="24"/>
              </w:rPr>
            </w:pPr>
            <w:r w:rsidRPr="008121B0">
              <w:rPr>
                <w:rFonts w:ascii="方正仿宋简体" w:eastAsia="方正仿宋简体" w:hAnsi="方正仿宋简体" w:cs="仿宋" w:hint="eastAsia"/>
                <w:kern w:val="0"/>
                <w:sz w:val="24"/>
                <w:szCs w:val="24"/>
              </w:rPr>
              <w:t>项目满意率：</w:t>
            </w:r>
            <w:r w:rsidRPr="008121B0">
              <w:rPr>
                <w:rFonts w:ascii="方正仿宋简体" w:eastAsia="方正仿宋简体" w:hAnsi="方正仿宋简体" w:cs="仿宋" w:hint="eastAsia"/>
                <w:kern w:val="0"/>
                <w:sz w:val="24"/>
                <w:szCs w:val="24"/>
                <w:u w:val="single"/>
              </w:rPr>
              <w:t xml:space="preserve">       </w:t>
            </w:r>
            <w:r w:rsidRPr="008121B0">
              <w:rPr>
                <w:rFonts w:ascii="方正仿宋简体" w:eastAsia="方正仿宋简体" w:hAnsi="方正仿宋简体" w:cs="仿宋" w:hint="eastAsia"/>
                <w:kern w:val="0"/>
                <w:sz w:val="24"/>
                <w:szCs w:val="24"/>
              </w:rPr>
              <w:t>%（请填写0-100）</w:t>
            </w:r>
          </w:p>
        </w:tc>
      </w:tr>
    </w:tbl>
    <w:p w14:paraId="36E75B51" w14:textId="1CBBCFAA" w:rsidR="008121B0" w:rsidRPr="008121B0" w:rsidRDefault="008121B0" w:rsidP="008121B0">
      <w:pPr>
        <w:widowControl/>
        <w:shd w:val="clear" w:color="auto" w:fill="FFFFFF"/>
        <w:spacing w:line="480" w:lineRule="atLeast"/>
        <w:jc w:val="left"/>
        <w:rPr>
          <w:rFonts w:ascii="仿宋" w:eastAsia="仿宋" w:hAnsi="仿宋" w:cs="仿宋"/>
          <w:kern w:val="0"/>
          <w:sz w:val="24"/>
          <w:szCs w:val="24"/>
        </w:rPr>
      </w:pPr>
      <w:r w:rsidRPr="008121B0">
        <w:rPr>
          <w:rFonts w:ascii="仿宋" w:eastAsia="仿宋" w:hAnsi="仿宋" w:cs="仿宋" w:hint="eastAsia"/>
          <w:kern w:val="0"/>
          <w:sz w:val="24"/>
          <w:szCs w:val="24"/>
        </w:rPr>
        <w:t>采购中心对接人（签字）：</w:t>
      </w:r>
    </w:p>
    <w:p w14:paraId="64A703F2" w14:textId="77777777" w:rsidR="008121B0" w:rsidRPr="008121B0" w:rsidRDefault="008121B0" w:rsidP="008121B0">
      <w:pPr>
        <w:widowControl/>
        <w:shd w:val="clear" w:color="auto" w:fill="FFFFFF"/>
        <w:spacing w:line="480" w:lineRule="atLeast"/>
        <w:jc w:val="left"/>
        <w:rPr>
          <w:rFonts w:ascii="仿宋" w:eastAsia="仿宋" w:hAnsi="仿宋" w:cs="仿宋"/>
          <w:kern w:val="0"/>
          <w:sz w:val="24"/>
          <w:szCs w:val="24"/>
        </w:rPr>
      </w:pPr>
      <w:r w:rsidRPr="008121B0">
        <w:rPr>
          <w:rFonts w:ascii="仿宋" w:eastAsia="仿宋" w:hAnsi="仿宋" w:cs="仿宋" w:hint="eastAsia"/>
          <w:kern w:val="0"/>
          <w:sz w:val="24"/>
          <w:szCs w:val="24"/>
        </w:rPr>
        <w:t>采购人代表（签字）：</w:t>
      </w:r>
    </w:p>
    <w:p w14:paraId="764F4CBA" w14:textId="225B1EDD" w:rsidR="008121B0" w:rsidRPr="008121B0" w:rsidRDefault="008121B0" w:rsidP="008121B0">
      <w:pPr>
        <w:widowControl/>
        <w:shd w:val="clear" w:color="auto" w:fill="FFFFFF"/>
        <w:spacing w:line="480" w:lineRule="atLeast"/>
        <w:jc w:val="left"/>
        <w:rPr>
          <w:rFonts w:ascii="仿宋" w:eastAsia="仿宋" w:hAnsi="仿宋" w:cs="仿宋"/>
          <w:kern w:val="0"/>
          <w:sz w:val="24"/>
          <w:szCs w:val="24"/>
        </w:rPr>
      </w:pPr>
      <w:r w:rsidRPr="008121B0">
        <w:rPr>
          <w:rFonts w:ascii="仿宋" w:eastAsia="仿宋" w:hAnsi="仿宋" w:cs="仿宋" w:hint="eastAsia"/>
          <w:kern w:val="0"/>
          <w:sz w:val="24"/>
          <w:szCs w:val="24"/>
        </w:rPr>
        <w:t>监督代表（签字）： </w:t>
      </w:r>
    </w:p>
    <w:p w14:paraId="62CD19DF" w14:textId="3DFEC96C" w:rsidR="00715DA9" w:rsidRDefault="008121B0" w:rsidP="008121B0">
      <w:pPr>
        <w:widowControl/>
        <w:shd w:val="clear" w:color="auto" w:fill="FFFFFF"/>
        <w:spacing w:line="480" w:lineRule="atLeast"/>
        <w:jc w:val="left"/>
        <w:rPr>
          <w:rFonts w:ascii="仿宋" w:eastAsia="仿宋" w:hAnsi="仿宋" w:cs="仿宋"/>
          <w:kern w:val="0"/>
          <w:sz w:val="24"/>
          <w:szCs w:val="24"/>
        </w:rPr>
      </w:pPr>
      <w:r w:rsidRPr="008121B0">
        <w:rPr>
          <w:rFonts w:ascii="仿宋" w:eastAsia="仿宋" w:hAnsi="仿宋" w:cs="仿宋" w:hint="eastAsia"/>
          <w:kern w:val="0"/>
          <w:sz w:val="24"/>
          <w:szCs w:val="24"/>
        </w:rPr>
        <w:t>项目负责人（签字）：</w:t>
      </w:r>
    </w:p>
    <w:p w14:paraId="7281FF62" w14:textId="002F59ED" w:rsidR="008121B0" w:rsidRDefault="008121B0" w:rsidP="008121B0">
      <w:pPr>
        <w:rPr>
          <w:rFonts w:ascii="仿宋" w:eastAsia="仿宋" w:hAnsi="仿宋" w:cs="仿宋"/>
          <w:kern w:val="0"/>
          <w:sz w:val="24"/>
          <w:szCs w:val="24"/>
        </w:rPr>
      </w:pPr>
    </w:p>
    <w:p w14:paraId="33998E5F" w14:textId="77F83E3E" w:rsidR="008121B0" w:rsidRPr="008121B0" w:rsidRDefault="008121B0" w:rsidP="008121B0">
      <w:pPr>
        <w:tabs>
          <w:tab w:val="left" w:pos="664"/>
        </w:tabs>
        <w:ind w:right="480"/>
        <w:jc w:val="right"/>
        <w:rPr>
          <w:rFonts w:ascii="仿宋" w:eastAsia="仿宋" w:hAnsi="仿宋" w:cs="仿宋"/>
          <w:sz w:val="24"/>
          <w:szCs w:val="24"/>
        </w:rPr>
      </w:pPr>
      <w:r>
        <w:rPr>
          <w:rFonts w:ascii="仿宋" w:eastAsia="仿宋" w:hAnsi="仿宋" w:cs="仿宋"/>
          <w:sz w:val="24"/>
          <w:szCs w:val="24"/>
        </w:rPr>
        <w:tab/>
      </w:r>
      <w:r>
        <w:rPr>
          <w:rFonts w:ascii="仿宋" w:eastAsia="仿宋" w:hAnsi="仿宋" w:cs="仿宋" w:hint="eastAsia"/>
          <w:sz w:val="24"/>
          <w:szCs w:val="24"/>
        </w:rPr>
        <w:t xml:space="preserve">年 </w:t>
      </w:r>
      <w:r>
        <w:rPr>
          <w:rFonts w:ascii="仿宋" w:eastAsia="仿宋" w:hAnsi="仿宋" w:cs="仿宋"/>
          <w:sz w:val="24"/>
          <w:szCs w:val="24"/>
        </w:rPr>
        <w:t xml:space="preserve">    </w:t>
      </w:r>
      <w:r>
        <w:rPr>
          <w:rFonts w:ascii="仿宋" w:eastAsia="仿宋" w:hAnsi="仿宋" w:cs="仿宋" w:hint="eastAsia"/>
          <w:sz w:val="24"/>
          <w:szCs w:val="24"/>
        </w:rPr>
        <w:t xml:space="preserve">月 </w:t>
      </w:r>
      <w:r>
        <w:rPr>
          <w:rFonts w:ascii="仿宋" w:eastAsia="仿宋" w:hAnsi="仿宋" w:cs="仿宋"/>
          <w:sz w:val="24"/>
          <w:szCs w:val="24"/>
        </w:rPr>
        <w:t xml:space="preserve">    </w:t>
      </w:r>
      <w:r>
        <w:rPr>
          <w:rFonts w:ascii="仿宋" w:eastAsia="仿宋" w:hAnsi="仿宋" w:cs="仿宋" w:hint="eastAsia"/>
          <w:sz w:val="24"/>
          <w:szCs w:val="24"/>
        </w:rPr>
        <w:t>日</w:t>
      </w:r>
    </w:p>
    <w:sectPr w:rsidR="008121B0" w:rsidRPr="008121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A519" w14:textId="77777777" w:rsidR="00990134" w:rsidRDefault="00990134" w:rsidP="008121B0">
      <w:r>
        <w:separator/>
      </w:r>
    </w:p>
  </w:endnote>
  <w:endnote w:type="continuationSeparator" w:id="0">
    <w:p w14:paraId="325A4624" w14:textId="77777777" w:rsidR="00990134" w:rsidRDefault="00990134" w:rsidP="0081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方正仿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6042" w14:textId="77777777" w:rsidR="00990134" w:rsidRDefault="00990134" w:rsidP="008121B0">
      <w:r>
        <w:separator/>
      </w:r>
    </w:p>
  </w:footnote>
  <w:footnote w:type="continuationSeparator" w:id="0">
    <w:p w14:paraId="4F8069A2" w14:textId="77777777" w:rsidR="00990134" w:rsidRDefault="00990134" w:rsidP="00812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2C"/>
    <w:rsid w:val="000B5D6F"/>
    <w:rsid w:val="0065002C"/>
    <w:rsid w:val="00715DA9"/>
    <w:rsid w:val="008121B0"/>
    <w:rsid w:val="00990134"/>
    <w:rsid w:val="00AF0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A93A"/>
  <w15:chartTrackingRefBased/>
  <w15:docId w15:val="{D557595F-F55F-486C-8DCB-C9575627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1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1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121B0"/>
    <w:rPr>
      <w:sz w:val="18"/>
      <w:szCs w:val="18"/>
    </w:rPr>
  </w:style>
  <w:style w:type="paragraph" w:styleId="a5">
    <w:name w:val="footer"/>
    <w:basedOn w:val="a"/>
    <w:link w:val="a6"/>
    <w:uiPriority w:val="99"/>
    <w:unhideWhenUsed/>
    <w:rsid w:val="008121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121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张敏</dc:creator>
  <cp:keywords/>
  <dc:description/>
  <cp:lastModifiedBy>张敏</cp:lastModifiedBy>
  <cp:revision>3</cp:revision>
  <dcterms:created xsi:type="dcterms:W3CDTF">2023-03-24T01:34:00Z</dcterms:created>
  <dcterms:modified xsi:type="dcterms:W3CDTF">2023-03-24T01:44:00Z</dcterms:modified>
</cp:coreProperties>
</file>